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F3" w:rsidRPr="009471C5" w:rsidRDefault="008F6D0C" w:rsidP="00DD1DF3">
      <w:pPr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Eksempel på formulering af afsnit om </w:t>
      </w:r>
      <w:r w:rsidR="00DD1DF3" w:rsidRPr="009471C5">
        <w:rPr>
          <w:b/>
          <w:sz w:val="36"/>
          <w:szCs w:val="36"/>
        </w:rPr>
        <w:t>Anvendt regnskabspraksis</w:t>
      </w:r>
      <w:r>
        <w:rPr>
          <w:b/>
          <w:sz w:val="36"/>
          <w:szCs w:val="36"/>
        </w:rPr>
        <w:t xml:space="preserve"> i </w:t>
      </w:r>
      <w:r w:rsidR="00F06B3C">
        <w:rPr>
          <w:b/>
          <w:sz w:val="36"/>
          <w:szCs w:val="36"/>
        </w:rPr>
        <w:t xml:space="preserve">regnskab fra </w:t>
      </w:r>
      <w:r>
        <w:rPr>
          <w:b/>
          <w:sz w:val="36"/>
          <w:szCs w:val="36"/>
        </w:rPr>
        <w:t>branchefællesskaber for arbejdsmiljø</w:t>
      </w:r>
    </w:p>
    <w:bookmarkEnd w:id="0"/>
    <w:p w:rsidR="008E7844" w:rsidRDefault="008E7844" w:rsidP="00DD1DF3"/>
    <w:p w:rsidR="00F7470B" w:rsidRDefault="00F7470B" w:rsidP="00DD1DF3">
      <w:r>
        <w:t>Der skal i årsregnskabet indgå et særskilt afsnit om anvendt regnskabspraksis.</w:t>
      </w:r>
    </w:p>
    <w:p w:rsidR="00F7470B" w:rsidRDefault="00F7470B" w:rsidP="00F7470B">
      <w:pPr>
        <w:autoSpaceDE w:val="0"/>
        <w:autoSpaceDN w:val="0"/>
        <w:adjustRightInd w:val="0"/>
      </w:pPr>
    </w:p>
    <w:p w:rsidR="00F7470B" w:rsidRDefault="00F7470B" w:rsidP="00F7470B">
      <w:pPr>
        <w:autoSpaceDE w:val="0"/>
        <w:autoSpaceDN w:val="0"/>
        <w:adjustRightInd w:val="0"/>
      </w:pPr>
      <w:r>
        <w:t>Beskrivelsen af anvendt regnskabspraksis skal tilpasses den konkrete virksomhed og bør ikke</w:t>
      </w:r>
    </w:p>
    <w:p w:rsidR="00F7470B" w:rsidRDefault="00F7470B" w:rsidP="00F7470B">
      <w:r>
        <w:t>omfatte beskrivelse af forhold, der er uvedkommende eller uvæsentlige for årsregnskabet.</w:t>
      </w:r>
    </w:p>
    <w:p w:rsidR="00F7470B" w:rsidRDefault="00F7470B" w:rsidP="00F7470B"/>
    <w:p w:rsidR="00F7470B" w:rsidRDefault="00F7470B" w:rsidP="00F7470B">
      <w:pPr>
        <w:autoSpaceDE w:val="0"/>
        <w:autoSpaceDN w:val="0"/>
        <w:adjustRightInd w:val="0"/>
      </w:pPr>
      <w:r>
        <w:t>Det skal af anvendt regnskabspraksis fremgå, efter hvilken regnskabsklasse (B) der aflægges</w:t>
      </w:r>
    </w:p>
    <w:p w:rsidR="00F7470B" w:rsidRDefault="00F7470B" w:rsidP="00F7470B">
      <w:pPr>
        <w:autoSpaceDE w:val="0"/>
        <w:autoSpaceDN w:val="0"/>
        <w:adjustRightInd w:val="0"/>
      </w:pPr>
      <w:r>
        <w:t xml:space="preserve">årsrapport. </w:t>
      </w:r>
    </w:p>
    <w:p w:rsidR="00F06B3C" w:rsidRDefault="00F06B3C" w:rsidP="00F7470B">
      <w:pPr>
        <w:autoSpaceDE w:val="0"/>
        <w:autoSpaceDN w:val="0"/>
        <w:adjustRightInd w:val="0"/>
      </w:pPr>
    </w:p>
    <w:p w:rsidR="00F7470B" w:rsidRDefault="00F06B3C" w:rsidP="00DD1DF3">
      <w:r>
        <w:t>Ved ændring af anvendt regnskabspraksis skal konsekvenser for posterne i regnskabet fremgå eksplicit.</w:t>
      </w:r>
    </w:p>
    <w:p w:rsidR="00F06B3C" w:rsidRDefault="00F06B3C" w:rsidP="00DD1DF3"/>
    <w:p w:rsidR="008E7844" w:rsidRPr="009471C5" w:rsidRDefault="008E7844" w:rsidP="00DD1DF3">
      <w:pPr>
        <w:rPr>
          <w:b/>
          <w:sz w:val="28"/>
          <w:szCs w:val="28"/>
        </w:rPr>
      </w:pPr>
      <w:r w:rsidRPr="009471C5">
        <w:rPr>
          <w:b/>
          <w:sz w:val="28"/>
          <w:szCs w:val="28"/>
        </w:rPr>
        <w:t>Regnskabsgrundlag</w:t>
      </w:r>
    </w:p>
    <w:p w:rsidR="000F2145" w:rsidRDefault="000F2145" w:rsidP="00DD1DF3">
      <w:r>
        <w:t xml:space="preserve">Årsregnskabet er aflagt i overensstemmelse med årsregnskabslovens bestemmelser for regnskabsklasse B virksomheder og bekendtgørelse </w:t>
      </w:r>
      <w:r w:rsidR="008F6D0C">
        <w:t xml:space="preserve">nr. 1758 af 27. december 2016 </w:t>
      </w:r>
      <w:r>
        <w:t xml:space="preserve">om branchefællesskaber for arbejdsmiljø. </w:t>
      </w:r>
    </w:p>
    <w:p w:rsidR="00600347" w:rsidRPr="009471C5" w:rsidRDefault="00600347" w:rsidP="00DD1DF3">
      <w:pPr>
        <w:rPr>
          <w:sz w:val="28"/>
          <w:szCs w:val="28"/>
        </w:rPr>
      </w:pPr>
    </w:p>
    <w:p w:rsidR="00600347" w:rsidRPr="009471C5" w:rsidRDefault="00600347" w:rsidP="00600347">
      <w:pPr>
        <w:rPr>
          <w:sz w:val="28"/>
          <w:szCs w:val="28"/>
        </w:rPr>
      </w:pPr>
      <w:r w:rsidRPr="009471C5">
        <w:rPr>
          <w:b/>
          <w:sz w:val="28"/>
          <w:szCs w:val="28"/>
        </w:rPr>
        <w:t>Ændring i anvendt regnskabspraksis</w:t>
      </w:r>
    </w:p>
    <w:p w:rsidR="00600347" w:rsidRDefault="00600347" w:rsidP="00600347">
      <w:r>
        <w:t xml:space="preserve">Årsregnskabet er aflagt </w:t>
      </w:r>
      <w:r w:rsidR="00C75716">
        <w:t xml:space="preserve">[ikke aflagt] </w:t>
      </w:r>
      <w:r>
        <w:t xml:space="preserve">efter samme regnskabspraksis som sidste år. </w:t>
      </w:r>
    </w:p>
    <w:p w:rsidR="00600347" w:rsidRDefault="00600347" w:rsidP="00DD1DF3"/>
    <w:p w:rsidR="00D83092" w:rsidRPr="009471C5" w:rsidRDefault="00D83092" w:rsidP="00D83092">
      <w:pPr>
        <w:rPr>
          <w:sz w:val="28"/>
          <w:szCs w:val="28"/>
        </w:rPr>
      </w:pPr>
      <w:r w:rsidRPr="008E7844">
        <w:rPr>
          <w:b/>
        </w:rPr>
        <w:t xml:space="preserve">Generelt </w:t>
      </w:r>
      <w:r w:rsidRPr="009471C5">
        <w:rPr>
          <w:b/>
          <w:sz w:val="28"/>
          <w:szCs w:val="28"/>
        </w:rPr>
        <w:t>om indregning og måling</w:t>
      </w:r>
    </w:p>
    <w:p w:rsidR="008E7844" w:rsidRDefault="00BA22FE" w:rsidP="00DD1DF3">
      <w:r>
        <w:t>Regnskabet er udarbejdet ud fra det historiske kostprisprincip.</w:t>
      </w:r>
    </w:p>
    <w:p w:rsidR="00A11736" w:rsidRDefault="00A11736" w:rsidP="00DD1DF3"/>
    <w:p w:rsidR="00F7470B" w:rsidRDefault="00BA22FE" w:rsidP="00DD1DF3">
      <w:r>
        <w:t xml:space="preserve">Indtægter indregnes i resultatopgørelsen i takt med at de indtjenes. </w:t>
      </w:r>
    </w:p>
    <w:p w:rsidR="00F7470B" w:rsidRDefault="00F7470B" w:rsidP="00DD1DF3"/>
    <w:p w:rsidR="00BA22FE" w:rsidRDefault="00BA22FE" w:rsidP="00DD1DF3">
      <w:r>
        <w:t>Alle omkostninger, der er afholdt for at opfylde årets mål og formål er indregnet i resultatopgørelsen. Dette gælder også afskrivninger, nedskriv</w:t>
      </w:r>
      <w:r w:rsidR="00F45CC0">
        <w:t>ninger, hensættelser og hensatte</w:t>
      </w:r>
      <w:r>
        <w:t xml:space="preserve"> forpligtelser.</w:t>
      </w:r>
      <w:r w:rsidR="00600347">
        <w:t xml:space="preserve"> </w:t>
      </w:r>
    </w:p>
    <w:p w:rsidR="00BA22FE" w:rsidRDefault="00BA22FE" w:rsidP="00DD1DF3"/>
    <w:p w:rsidR="00C75716" w:rsidRDefault="00C75716" w:rsidP="00DD1DF3">
      <w:r>
        <w:t xml:space="preserve">Aktiver indregnes i balancen, når det er sandsynligt, at </w:t>
      </w:r>
      <w:r w:rsidR="00027114">
        <w:t xml:space="preserve">aktivet vil tilfalde </w:t>
      </w:r>
      <w:r>
        <w:t xml:space="preserve">branchefællesselskabet, og aktivets værdi kan måles pålideligt. </w:t>
      </w:r>
    </w:p>
    <w:p w:rsidR="00C75716" w:rsidRDefault="00C75716" w:rsidP="00DD1DF3"/>
    <w:p w:rsidR="00C75716" w:rsidRDefault="00C75716" w:rsidP="00DD1DF3">
      <w:r>
        <w:t>Forpligtelser indregnes i balancen, når det er sandsynligt, at branchefællesskabet</w:t>
      </w:r>
      <w:r w:rsidR="00027114">
        <w:t xml:space="preserve"> skal afholde forpligtelsen</w:t>
      </w:r>
      <w:r>
        <w:t>, og forpligtelsens værdi kan måles pålideligt.</w:t>
      </w:r>
    </w:p>
    <w:p w:rsidR="00C75716" w:rsidRDefault="00C75716" w:rsidP="00DD1DF3"/>
    <w:p w:rsidR="00C75716" w:rsidRDefault="00C75716" w:rsidP="00DD1DF3">
      <w:r>
        <w:t xml:space="preserve">Ved første indregning måles aktiver og forpligtelser til kostpris. Efterfølgende måles aktiver og forpligtelser som beskrevet for hver enkelt regnskabspost nedenfor. </w:t>
      </w:r>
    </w:p>
    <w:p w:rsidR="009471C5" w:rsidRDefault="009471C5" w:rsidP="00DD1DF3"/>
    <w:p w:rsidR="00C75716" w:rsidRDefault="00C75716" w:rsidP="00DD1DF3">
      <w:r>
        <w:t xml:space="preserve">Ved indregning og måling tages hensyn til forudsigelige tab og risici, der fremkommer inden årsrapporten aflægges, og som </w:t>
      </w:r>
      <w:proofErr w:type="spellStart"/>
      <w:r>
        <w:t>be</w:t>
      </w:r>
      <w:proofErr w:type="spellEnd"/>
      <w:r>
        <w:t>- eller afkræfter forhold, der eksisterede på balancedagen</w:t>
      </w:r>
      <w:r w:rsidR="00514C79">
        <w:t xml:space="preserve"> (den 31. december)</w:t>
      </w:r>
      <w:r>
        <w:t>.</w:t>
      </w:r>
    </w:p>
    <w:p w:rsidR="00F06B3C" w:rsidRDefault="00F06B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5716" w:rsidRPr="009471C5" w:rsidRDefault="00C75716" w:rsidP="00DD1DF3">
      <w:pPr>
        <w:rPr>
          <w:sz w:val="28"/>
          <w:szCs w:val="28"/>
        </w:rPr>
      </w:pPr>
    </w:p>
    <w:p w:rsidR="009471C5" w:rsidRPr="009471C5" w:rsidRDefault="009471C5" w:rsidP="009471C5">
      <w:pPr>
        <w:rPr>
          <w:sz w:val="28"/>
          <w:szCs w:val="28"/>
        </w:rPr>
      </w:pPr>
      <w:r w:rsidRPr="009471C5">
        <w:rPr>
          <w:b/>
          <w:sz w:val="28"/>
          <w:szCs w:val="28"/>
        </w:rPr>
        <w:t>Resultatopgørelsen</w:t>
      </w:r>
    </w:p>
    <w:p w:rsidR="009471C5" w:rsidRDefault="009471C5" w:rsidP="00DD1DF3"/>
    <w:p w:rsidR="009471C5" w:rsidRPr="009471C5" w:rsidRDefault="009471C5" w:rsidP="00DD1DF3">
      <w:pPr>
        <w:rPr>
          <w:b/>
        </w:rPr>
      </w:pPr>
      <w:r w:rsidRPr="009471C5">
        <w:rPr>
          <w:b/>
        </w:rPr>
        <w:t>Indtægter</w:t>
      </w:r>
    </w:p>
    <w:p w:rsidR="009471C5" w:rsidRDefault="009471C5" w:rsidP="00DD1DF3">
      <w:r>
        <w:t xml:space="preserve">Tilskud fra Arbejdstilsynet og Arbejdsmiljørådet indregnes i årsregnskabet i takt med at </w:t>
      </w:r>
      <w:r w:rsidR="005D3F59">
        <w:t xml:space="preserve">tilskuddet </w:t>
      </w:r>
      <w:r w:rsidR="008F6D0C">
        <w:t>modtages</w:t>
      </w:r>
      <w:r w:rsidR="005D3F59">
        <w:t>, uanset hvilke periode bidraget vedrører.</w:t>
      </w:r>
    </w:p>
    <w:p w:rsidR="005D3F59" w:rsidRDefault="005D3F59" w:rsidP="00DD1DF3"/>
    <w:p w:rsidR="005D3F59" w:rsidRDefault="005D3F59" w:rsidP="00DD1DF3">
      <w:r>
        <w:t>[…]</w:t>
      </w:r>
    </w:p>
    <w:p w:rsidR="005D3F59" w:rsidRDefault="005D3F59" w:rsidP="00DD1DF3"/>
    <w:p w:rsidR="005D3F59" w:rsidRPr="009471C5" w:rsidRDefault="005D3F59" w:rsidP="005D3F59">
      <w:pPr>
        <w:rPr>
          <w:b/>
        </w:rPr>
      </w:pPr>
      <w:r>
        <w:rPr>
          <w:b/>
        </w:rPr>
        <w:t>Omkostninger</w:t>
      </w:r>
    </w:p>
    <w:p w:rsidR="005D3F59" w:rsidRDefault="005D3F59" w:rsidP="00DD1DF3">
      <w:r>
        <w:t>Omkostninger periodiseres således, at omkostninger der indregnes i resultatopgørelsen alene ved</w:t>
      </w:r>
      <w:r w:rsidR="00514C79">
        <w:t>r</w:t>
      </w:r>
      <w:r>
        <w:t>ører regnskabsåret.</w:t>
      </w:r>
      <w:r w:rsidR="00E63F54">
        <w:t xml:space="preserve"> Finansielle omkostninger omfatter renteindtægter og – udgifter samt gebyrer mv.</w:t>
      </w:r>
    </w:p>
    <w:p w:rsidR="009471C5" w:rsidRDefault="009471C5" w:rsidP="00DD1DF3"/>
    <w:p w:rsidR="005D3F59" w:rsidRDefault="005D3F59" w:rsidP="00DD1DF3">
      <w:r>
        <w:t>[…]</w:t>
      </w:r>
    </w:p>
    <w:p w:rsidR="005D3F59" w:rsidRDefault="005D3F59" w:rsidP="00DD1DF3"/>
    <w:p w:rsidR="00E63F54" w:rsidRPr="009471C5" w:rsidRDefault="00514C79" w:rsidP="00E63F54">
      <w:pPr>
        <w:rPr>
          <w:b/>
        </w:rPr>
      </w:pPr>
      <w:r>
        <w:rPr>
          <w:b/>
        </w:rPr>
        <w:t>O</w:t>
      </w:r>
      <w:r w:rsidR="00E63F54">
        <w:rPr>
          <w:b/>
        </w:rPr>
        <w:t>mkostninger</w:t>
      </w:r>
      <w:r>
        <w:rPr>
          <w:b/>
        </w:rPr>
        <w:t xml:space="preserve"> til aktiviteter</w:t>
      </w:r>
    </w:p>
    <w:p w:rsidR="007E5CE2" w:rsidRDefault="00E63F54" w:rsidP="00DD1DF3">
      <w:r>
        <w:t xml:space="preserve">Udgifter til de </w:t>
      </w:r>
      <w:r w:rsidR="001A6BE0">
        <w:t xml:space="preserve">aktiviteter, som </w:t>
      </w:r>
      <w:r>
        <w:t xml:space="preserve">er godkendt af branchefællesskabet, </w:t>
      </w:r>
      <w:r w:rsidR="001A6BE0">
        <w:t xml:space="preserve">er </w:t>
      </w:r>
      <w:r>
        <w:t>indregne</w:t>
      </w:r>
      <w:r w:rsidR="008F6D0C">
        <w:t>t</w:t>
      </w:r>
      <w:r>
        <w:t xml:space="preserve"> med alle udgifter, som er afholdt i året minus tidligere års hensatte beløb. </w:t>
      </w:r>
      <w:r w:rsidR="001A6BE0">
        <w:t>U</w:t>
      </w:r>
      <w:r>
        <w:t xml:space="preserve">dgifterne </w:t>
      </w:r>
      <w:r w:rsidR="001A6BE0">
        <w:t xml:space="preserve">til aktiviteterne </w:t>
      </w:r>
      <w:r>
        <w:t xml:space="preserve">er periodiseret således, at omkostninger først indregnes </w:t>
      </w:r>
      <w:r w:rsidR="001A6BE0">
        <w:t xml:space="preserve">i takt </w:t>
      </w:r>
      <w:r w:rsidR="008F6D0C">
        <w:t xml:space="preserve">med </w:t>
      </w:r>
      <w:r w:rsidR="001A6BE0">
        <w:t>aktiviteternes fremdrift.</w:t>
      </w:r>
    </w:p>
    <w:p w:rsidR="007E5CE2" w:rsidRDefault="007E5CE2" w:rsidP="00DD1DF3"/>
    <w:p w:rsidR="001A6BE0" w:rsidRPr="009471C5" w:rsidRDefault="001A6BE0" w:rsidP="001A6BE0">
      <w:pPr>
        <w:rPr>
          <w:sz w:val="28"/>
          <w:szCs w:val="28"/>
        </w:rPr>
      </w:pPr>
      <w:r>
        <w:rPr>
          <w:b/>
          <w:sz w:val="28"/>
          <w:szCs w:val="28"/>
        </w:rPr>
        <w:t>Balancen</w:t>
      </w:r>
    </w:p>
    <w:p w:rsidR="001A6BE0" w:rsidRDefault="001A6BE0" w:rsidP="001A6BE0"/>
    <w:p w:rsidR="001A6BE0" w:rsidRPr="009471C5" w:rsidRDefault="001A6BE0" w:rsidP="001A6BE0">
      <w:pPr>
        <w:rPr>
          <w:b/>
        </w:rPr>
      </w:pPr>
      <w:r>
        <w:rPr>
          <w:b/>
        </w:rPr>
        <w:t>Tilgodehavender</w:t>
      </w:r>
    </w:p>
    <w:p w:rsidR="00A11736" w:rsidRDefault="001A6BE0" w:rsidP="00DD1DF3">
      <w:r>
        <w:t xml:space="preserve">Tilgodehavender måles til amortiseret kostpris, </w:t>
      </w:r>
      <w:r w:rsidR="005553F7">
        <w:t>hvilke for alle praktiske formål s</w:t>
      </w:r>
      <w:r>
        <w:t>varer til nominel værdi. Værdien reduceres med nedskrivning til imødegåelse af forventede tab.</w:t>
      </w:r>
    </w:p>
    <w:p w:rsidR="001A6BE0" w:rsidRDefault="001A6BE0" w:rsidP="00DD1DF3"/>
    <w:p w:rsidR="001A6BE0" w:rsidRPr="001A6BE0" w:rsidRDefault="001A6BE0" w:rsidP="00DD1DF3">
      <w:pPr>
        <w:rPr>
          <w:b/>
        </w:rPr>
      </w:pPr>
      <w:r w:rsidRPr="001A6BE0">
        <w:rPr>
          <w:b/>
        </w:rPr>
        <w:t>Periodeafgrænsningsposter</w:t>
      </w:r>
      <w:r w:rsidR="005553F7">
        <w:rPr>
          <w:b/>
        </w:rPr>
        <w:t>, aktiver</w:t>
      </w:r>
    </w:p>
    <w:p w:rsidR="001A6BE0" w:rsidRDefault="001A6BE0" w:rsidP="00DD1DF3">
      <w:r>
        <w:t>Periodeafgrænsningsposter indregnet under aktiver omfatter afholdte omkostninger vedrørende efterfølgende regnskabsår.</w:t>
      </w:r>
    </w:p>
    <w:p w:rsidR="001A6BE0" w:rsidRDefault="001A6BE0" w:rsidP="00DD1DF3"/>
    <w:p w:rsidR="005553F7" w:rsidRPr="005553F7" w:rsidRDefault="005553F7" w:rsidP="00DD1DF3">
      <w:pPr>
        <w:rPr>
          <w:b/>
        </w:rPr>
      </w:pPr>
      <w:r w:rsidRPr="005553F7">
        <w:rPr>
          <w:b/>
        </w:rPr>
        <w:t>Gældsforpligtelser</w:t>
      </w:r>
    </w:p>
    <w:p w:rsidR="001A6BE0" w:rsidRDefault="005553F7" w:rsidP="00DD1DF3">
      <w:r>
        <w:t>Anden gæld end gæld i forbindelse med aktiviteter optages til amortiseret kostpris, hvilket for alle praktiske formål svarer til nominel værdi.</w:t>
      </w:r>
    </w:p>
    <w:p w:rsidR="001A6BE0" w:rsidRDefault="001A6BE0" w:rsidP="00DD1DF3"/>
    <w:p w:rsidR="005553F7" w:rsidRDefault="005553F7" w:rsidP="00DD1DF3">
      <w:r w:rsidRPr="001A6BE0">
        <w:rPr>
          <w:b/>
        </w:rPr>
        <w:t>Periodeafgrænsningsposter</w:t>
      </w:r>
      <w:r>
        <w:rPr>
          <w:b/>
        </w:rPr>
        <w:t>, passiver</w:t>
      </w:r>
    </w:p>
    <w:p w:rsidR="005553F7" w:rsidRDefault="00135C5E" w:rsidP="00DD1DF3">
      <w:r>
        <w:t>Posten vedrører uudnyttet tils</w:t>
      </w:r>
      <w:r w:rsidR="00C9721E">
        <w:t xml:space="preserve">kud </w:t>
      </w:r>
      <w:r w:rsidR="009A2ECC">
        <w:t>i forbindelse med aktiviteter finansieret af mid</w:t>
      </w:r>
      <w:r>
        <w:t>l</w:t>
      </w:r>
      <w:r w:rsidR="009A2ECC">
        <w:t xml:space="preserve">er fra Arbejdstilsynet, Arbejdsmiljørådet </w:t>
      </w:r>
      <w:r w:rsidR="00C9721E">
        <w:t xml:space="preserve">og </w:t>
      </w:r>
      <w:r w:rsidR="009A2ECC">
        <w:t>midler afledt heraf</w:t>
      </w:r>
      <w:r>
        <w:t xml:space="preserve">. </w:t>
      </w:r>
      <w:r w:rsidR="00C9721E">
        <w:t>Uudnyttet tilskud fremkommer som årets udbetalte tilskud og midler afledt heraf jf. ovenfor samt uudnyttet tils</w:t>
      </w:r>
      <w:r w:rsidR="00B3531E">
        <w:t xml:space="preserve">kud </w:t>
      </w:r>
      <w:r w:rsidR="00C9721E">
        <w:t>fra tidligere år fratrukket årets omkostninger fra resultatopgørelsen.</w:t>
      </w:r>
      <w:r w:rsidR="00B3531E">
        <w:t xml:space="preserve"> De uudnytte</w:t>
      </w:r>
      <w:r w:rsidR="008F6D0C">
        <w:t>de</w:t>
      </w:r>
      <w:r w:rsidR="00B3531E">
        <w:t xml:space="preserve"> tilskud er opdelt, så det af regnskabet er identificerbart fra hvilke</w:t>
      </w:r>
      <w:r w:rsidR="008631AE">
        <w:t xml:space="preserve"> </w:t>
      </w:r>
      <w:proofErr w:type="spellStart"/>
      <w:r w:rsidR="00B3531E">
        <w:t>tilskudsår</w:t>
      </w:r>
      <w:proofErr w:type="spellEnd"/>
      <w:r w:rsidR="00B3531E">
        <w:t xml:space="preserve"> de uudnytte</w:t>
      </w:r>
      <w:r w:rsidR="008F6D0C">
        <w:t>de</w:t>
      </w:r>
      <w:r w:rsidR="00B3531E">
        <w:t xml:space="preserve"> tilskud stammer.  </w:t>
      </w:r>
    </w:p>
    <w:p w:rsidR="005553F7" w:rsidRDefault="005553F7" w:rsidP="001A6BE0">
      <w:pPr>
        <w:rPr>
          <w:b/>
        </w:rPr>
      </w:pPr>
    </w:p>
    <w:p w:rsidR="001A6BE0" w:rsidRPr="001A6BE0" w:rsidRDefault="001A6BE0" w:rsidP="001A6BE0">
      <w:pPr>
        <w:rPr>
          <w:b/>
        </w:rPr>
      </w:pPr>
      <w:proofErr w:type="spellStart"/>
      <w:r>
        <w:rPr>
          <w:b/>
        </w:rPr>
        <w:t>Eventualforpligtelser</w:t>
      </w:r>
      <w:proofErr w:type="spellEnd"/>
    </w:p>
    <w:p w:rsidR="001A6BE0" w:rsidRDefault="001A6BE0" w:rsidP="00DD1DF3">
      <w:proofErr w:type="spellStart"/>
      <w:r>
        <w:t>Eventualforpligtelser</w:t>
      </w:r>
      <w:proofErr w:type="spellEnd"/>
      <w:r>
        <w:t xml:space="preserve"> oplyses der for særskilt i den redegørelse, som medfølger regnskabet.  </w:t>
      </w:r>
    </w:p>
    <w:p w:rsidR="001A6BE0" w:rsidRDefault="001A6BE0" w:rsidP="00DD1DF3"/>
    <w:sectPr w:rsidR="001A6B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0F4F"/>
    <w:multiLevelType w:val="multilevel"/>
    <w:tmpl w:val="DA48A2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13E4945"/>
    <w:multiLevelType w:val="multilevel"/>
    <w:tmpl w:val="1EBA4C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F995939"/>
    <w:multiLevelType w:val="multilevel"/>
    <w:tmpl w:val="0D98E870"/>
    <w:lvl w:ilvl="0">
      <w:start w:val="1"/>
      <w:numFmt w:val="decimal"/>
      <w:pStyle w:val="Overskrift1"/>
      <w:lvlText w:val="%1."/>
      <w:lvlJc w:val="left"/>
      <w:pPr>
        <w:tabs>
          <w:tab w:val="num" w:pos="862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862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" w15:restartNumberingAfterBreak="0">
    <w:nsid w:val="4FAB0EA4"/>
    <w:multiLevelType w:val="singleLevel"/>
    <w:tmpl w:val="4282FE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59270648"/>
    <w:multiLevelType w:val="multilevel"/>
    <w:tmpl w:val="4B2AFA0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5" w15:restartNumberingAfterBreak="0">
    <w:nsid w:val="7ADA4D03"/>
    <w:multiLevelType w:val="multilevel"/>
    <w:tmpl w:val="482AF08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5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F3"/>
    <w:rsid w:val="00027114"/>
    <w:rsid w:val="00042595"/>
    <w:rsid w:val="000F2145"/>
    <w:rsid w:val="00135C5E"/>
    <w:rsid w:val="00154FA5"/>
    <w:rsid w:val="00183DCA"/>
    <w:rsid w:val="001A6BE0"/>
    <w:rsid w:val="001E2169"/>
    <w:rsid w:val="002A5989"/>
    <w:rsid w:val="00371C4F"/>
    <w:rsid w:val="004457F6"/>
    <w:rsid w:val="00514C79"/>
    <w:rsid w:val="005553F7"/>
    <w:rsid w:val="005B0B66"/>
    <w:rsid w:val="005D3F59"/>
    <w:rsid w:val="00600347"/>
    <w:rsid w:val="00637BAB"/>
    <w:rsid w:val="006414C0"/>
    <w:rsid w:val="00646109"/>
    <w:rsid w:val="006F7655"/>
    <w:rsid w:val="007812B0"/>
    <w:rsid w:val="00782B07"/>
    <w:rsid w:val="007E5CE2"/>
    <w:rsid w:val="007F1279"/>
    <w:rsid w:val="008631AE"/>
    <w:rsid w:val="008A2591"/>
    <w:rsid w:val="008E47A8"/>
    <w:rsid w:val="008E7844"/>
    <w:rsid w:val="008F20AB"/>
    <w:rsid w:val="008F6D0C"/>
    <w:rsid w:val="009471C5"/>
    <w:rsid w:val="009A2ECC"/>
    <w:rsid w:val="009F579F"/>
    <w:rsid w:val="009F701D"/>
    <w:rsid w:val="00A11736"/>
    <w:rsid w:val="00A97CF6"/>
    <w:rsid w:val="00B3531E"/>
    <w:rsid w:val="00B83F37"/>
    <w:rsid w:val="00BA22FE"/>
    <w:rsid w:val="00BF5DAF"/>
    <w:rsid w:val="00C55F7E"/>
    <w:rsid w:val="00C745AA"/>
    <w:rsid w:val="00C75716"/>
    <w:rsid w:val="00C9577E"/>
    <w:rsid w:val="00C9721E"/>
    <w:rsid w:val="00D83092"/>
    <w:rsid w:val="00D90A2B"/>
    <w:rsid w:val="00DD082F"/>
    <w:rsid w:val="00DD1DF3"/>
    <w:rsid w:val="00E63F54"/>
    <w:rsid w:val="00EE6474"/>
    <w:rsid w:val="00F06B3C"/>
    <w:rsid w:val="00F45CC0"/>
    <w:rsid w:val="00F658D9"/>
    <w:rsid w:val="00F7470B"/>
    <w:rsid w:val="00F922DE"/>
    <w:rsid w:val="00F9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4CD381-D3A5-4170-BA82-BD9A455D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F7655"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rsid w:val="006F765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6F765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DD1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Eksempel på formulering af afsnit om Anvendt regnskabs-praksis i regnskab fra branchefællesskaber for arbejdsmiljø</vt:lpstr>
    </vt:vector>
  </TitlesOfParts>
  <Company>BM</Company>
  <LinksUpToDate>false</LinksUpToDate>
  <CharactersWithSpaces>3815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http://www.oes.dk/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formulering af afsnit om Anvendt regnskabs-praksis i regnskab fra branchefællesskaber for arbejdsmiljø</dc:title>
  <dc:creator>Arbejdstilsynet</dc:creator>
  <cp:lastModifiedBy>Katarina Holm</cp:lastModifiedBy>
  <cp:revision>2</cp:revision>
  <cp:lastPrinted>2006-03-07T16:09:00Z</cp:lastPrinted>
  <dcterms:created xsi:type="dcterms:W3CDTF">2022-03-01T10:14:00Z</dcterms:created>
  <dcterms:modified xsi:type="dcterms:W3CDTF">2022-03-01T10:14:00Z</dcterms:modified>
</cp:coreProperties>
</file>